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24 142 vom 25. September 2025</w:t>
      </w:r>
    </w:p>
    <w:p>
      <w:r>
        <w:t>VS Kantonsgericht, 2025-09-25, FR</w:t>
      </w:r>
    </w:p>
    <w:p>
      <w:r>
        <w:rPr>
          <w:b/>
        </w:rPr>
        <w:t xml:space="preserve">Quelle: </w:t>
      </w:r>
      <w:r>
        <w:t>https://mcp.opencaselaw.ch/entscheid/vs_gerichte_F1 24 142</w:t>
      </w:r>
    </w:p>
    <w:p>
      <w:r>
        <w:t>FR: VS_GERICHTE F1 24 142 du 25 septembre 2025</w:t>
      </w:r>
    </w:p>
    <w:p>
      <w:r>
        <w:t>IT: VS_GERICHTE F1 24 142 del 25 settembre 2025</w:t>
      </w:r>
    </w:p>
    <w:p>
      <w:pPr>
        <w:pStyle w:val="Heading2"/>
      </w:pPr>
      <w:r>
        <w:t>Erwägungen</w:t>
      </w:r>
    </w:p>
    <w:p>
      <w:r>
        <w:rPr>
          <w:b/>
        </w:rPr>
        <w:t>E. 1</w:t>
      </w:r>
    </w:p>
    <w:p>
      <w:r>
        <w:t>Interjeté dans le délai et les formes prescrits auprès de la juridiction compétente pour en connaître, le recours est recevable (art. 149 al. 2 et 3 et art. 140 ss LIFD ; art. 156 al. 3 et 4 et art. 150 LF). Il porte tant sur l’IFD que sur les ICC et peut être traité dans un seul arrêt (ATF 142 II 293 consid. 1.2). II. Impôt fédéral direct</w:t>
      </w:r>
    </w:p>
    <w:p>
      <w:r>
        <w:rPr>
          <w:b/>
        </w:rPr>
        <w:t>E. 2</w:t>
      </w:r>
    </w:p>
    <w:p>
      <w:r>
        <w:t>La recourante conteste le rejet de sa demande de révision, invoquant une violation de l’art. 147 LIFD.</w:t>
      </w:r>
    </w:p>
    <w:p>
      <w:r>
        <w:rPr>
          <w:b/>
        </w:rPr>
        <w:t>E. 2.1</w:t>
      </w:r>
    </w:p>
    <w:p>
      <w:r>
        <w:t>Selon l'art.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La révision doit être demandée dans les 90 jours qui suivent la découverte du motif de révision, mais au plus tard dans les dix ans qui suivent la notification de la décision ou du prononcé (art. 148 LIFD).</w:t>
      </w:r>
    </w:p>
    <w:p>
      <w:r>
        <w:rPr>
          <w:b/>
        </w:rPr>
        <w:t>E. 2.2</w:t>
      </w:r>
    </w:p>
    <w:p>
      <w:r>
        <w:t>Le motif de révision prévu à l’art. 147 al. 1 lit. a LIFD concerne l’établissement des faits décisifs et permet, le cas échéant, de donner un meilleur fondement à la décision ou au jugement. Il s’agit de corriger ou de compléter l’état de fait à l’origine de la taxation à réviser, en tenant compte d’éléments découverts ultérieurement (arrêt du Tribunal</w:t>
      </w:r>
    </w:p>
    <w:p>
      <w:r>
        <w:t>- 6 - fédéral 9C_75/2024 du 25 février 2025 consid. 4.1, destiné à la publication ; CASANOVA/DUBEY, in : NOËL/AUBRY GIRARDIN [édit.], Commentaire romand, Impôt fédéral direct, 2ème éd. 2017, n° 4 ad art. 147 LIFD). Le fait invoqué comme motif de révision doit être important, en ce sens qu’il doit être de nature à influencer la décision dans un sens favorable au requérant, ce qu'il incombe à celui-ci de démontrer concrètement (arrêts du Tribunal fédéral 9C_75/2024 précité consid. 4.1, 9C_674/2022 du 12 avril 2023 consid. 7.1). Le fait doit être nouveau, en ce sens qu'il était inconnu, mais qu'il existait déjà au moment de la décision. Il doit ainsi s'agir de faits antérieurs au prononcé dont la révision est demandée, mais qui ont été découverts par la suite (ibidem). Pour que des moyens de preuve au sens de l’art. 147 al. 1 lit. a LIFD puissent donner lieu à une révision, ils doivent être concluants, c’est-à-dire de nature à influencer la décision de manière favorable et, partant, concerner un fait important (LOOSER, in : ZWEIFEL/BEUSCH [édit.], Bundesgesetz über die direkte Bundessteuer, 4ème éd. 2022, n° 11 ad art. 147 LIFD ; CASANOVA/DUBEY, op. cit., n° 7 ad art. 147 LIFD). Le contribuable doit également démontrer qu'il n'a pas pu apporter ces nouveaux moyens de preuve dans des procédures antérieures, car une révision est exclue s’ils auraient déjà pu être présentés durant la procédure ordinaire (LOOSER, op. cit., n° 11 ad art. 147 LIFD).</w:t>
      </w:r>
    </w:p>
    <w:p>
      <w:r>
        <w:rPr>
          <w:b/>
        </w:rPr>
        <w:t>E. 2.3</w:t>
      </w:r>
    </w:p>
    <w:p>
      <w:r>
        <w:t>Il découle de l’art. 147 al. 2 LIFD que, même en présence d'un motif de révision, si le contribuable ou son représentant omet de manière négligente de faire valoir celui-ci dans la procédure ordinaire, la révision n'est pas possible. La jurisprudence souligne qu'il faut se montrer strict à cet égard, parce que le but de la procédure extraordinaire de la révision ne consiste pas à réparer les omissions évitables du contribuable au cours de la procédure ordinaire. Cette limitation importante à la révision s'explique par le caractère subsidiaire de cette voie de droit et par les exigences de la sécurité du droit (arrêts du Tribunal fédéral 9C_20/2023 du 29 février 2024 consid. 4.1, 2C_339/2022 du 24 juin 2022 consid. 4.1). Une révision est ainsi exclue en cas d'erreur dans la déclaration d'impôt due à une négligence du contribuable ou de son représentant (arrêt du Tribunal fédéral 2C_212/2016 du 6 septembre 2016 consid. 5.2 ; CASANOVA/DUBEY, op. cit., n° 15 ad art. 147 LIFD). Il en va de même lorsque le contribuable aurait pu découvrir immédiatement l’erreur de fait ou de droit commise par l’autorité fiscale dans la décision notifiée, le cas échéant en ayant recours à un conseiller professionnel (CASANOVA/DUBEY, op. cit., n° 15 ad art. 147 LIFD). En principe, on admettra que le contribuable connaît sa situation financière, qu’il contrôle la décision de taxation lorsqu’il</w:t>
      </w:r>
    </w:p>
    <w:p>
      <w:r>
        <w:t>- 7 - la reçoit et qu’il signale en temps utile les vices dont elle serait affectée (arrêts du Tribunal fédéral 9C_656/2022 du 24 mars 2023 consid. 2.3.2, 2C_212/2016 précité consid. 5.2 ; CASANOVA/DUBEY, op. cit., n° 15 ad art. 147 LIFD). Ainsi, ne fait pas preuve de la diligence requise notamment le contribuable qui, dans le cadre de la procédure ordinaire, n’expose pas les faits de manière complète, n’indique pas les moyens de preuve ou omet de vérifier que le revenu taxé ne correspondait pas aux revenus qu'il a effectivement réalisés (arrêt du Tribunal fédéral 9C_656/2022 précité consid. 2.3.2).</w:t>
      </w:r>
    </w:p>
    <w:p>
      <w:r>
        <w:rPr>
          <w:b/>
        </w:rPr>
        <w:t>E. 2.4.1</w:t>
      </w:r>
    </w:p>
    <w:p>
      <w:r>
        <w:t>En l’occurrence, le rejet de la demande de révision par l’autorité intimée doit être confirmé à la lecture du dossier. En effet, le fait nouveau invoqué à ce titre, à savoir que la vente des parcelles à C _________ SA aurait été effectuée par l’administrateur de la recourante et non par elle-même, n’est en tout état de cause pas avéré. Si l’intéressé était effectivement propriétaire des parcelles lors de la promesse de vente du 19 février 2016, il les a cédées à la recourante le 6 mars 2017, soit avant leur transfert à C _________ SA, intervenu le 5 juillet 2017. Ainsi, il n’était partie ni à cet acte ni à l’avenant du même jour modifiant la répartition du bénéfice de la promotion. Il n’a d’ailleurs perçu aucun montant de la part de l’acheteuse au titre du prix de vente ou du produit de la promotion. Le seul montant imposable dans son chef était le prix de 1’476’000 fr. correspondant à la vente de ses parcelles à la recourante, montant qui est toutefois sans rapport avec la présente procédure. Partant, la fiduciaire de la recourante n’a pas commis d’« erreur comptable » en inscrivant dans les comptes de celle-ci les montants afférents au prix de vente et au bénéfice de la promotion, lesquels constituaient effectivement son revenu. Dès lors, il n’existe aucun fait nouveau devant conduire à la révision des décisions de taxation 2019 et 2020.</w:t>
      </w:r>
    </w:p>
    <w:p>
      <w:r>
        <w:rPr>
          <w:b/>
        </w:rPr>
        <w:t>E. 2.4.2</w:t>
      </w:r>
    </w:p>
    <w:p>
      <w:r>
        <w:t>Au surplus, même si le fait invoqué par la recourante était avéré et qu’il y avait lieu de considérer que son administrateur était le vendeur des parcelles, la demande de révision devrait de toute manière être rejetée pour défaut de diligence. En effet, l’on ne saurait admettre que ce fait lui était inconnu lors du prononcé des décisions de taxation, puisqu’elle était partie au contrat du 19 février 2016 invoqué à l’appui de sa demande. En outre, à supposer que sa fiduciaire ait commis une erreur en comptabilisant les produits de l’opération immobilière, cette erreur doit lui être imputée. La mandataire en question était en effet en mesure d’examiner les justificatifs liés aux écritures à comptabiliser et, le cas échéant, de faire valoir les erreurs constatées au cours de la procédure de taxation ordinaire. L’absence d’indications sur les extraits des virements bancaires ne constituait pas un obstacle à un tel examen. La recourante n’a au surplus</w:t>
      </w:r>
    </w:p>
    <w:p>
      <w:r>
        <w:t>- 8 - pas allégué avoir été empêchée de contrôler que les décisions de taxation correspondaient au bénéfice effectivement réalisé. Sa demande de révision se révèle ainsi manifestement infondée.</w:t>
      </w:r>
    </w:p>
    <w:p>
      <w:r>
        <w:rPr>
          <w:b/>
        </w:rPr>
        <w:t>E. 2.4.3</w:t>
      </w:r>
    </w:p>
    <w:p>
      <w:r>
        <w:t>En définitive, c’est à bon droit que l’autorité intimée a considéré que les faits invoqués par la recourante ne constituaient pas un motif de révision au sens de l’art. 147 al. 1 LIFD et que la demande était de toute manière exclue pour défaut de diligence en application de l’art. 147 al. 2 LIFD. Les griefs y relatifs doivent donc être rejetés. III. Impôts cantonaux et communaux</w:t>
      </w:r>
    </w:p>
    <w:p>
      <w:r>
        <w:rPr>
          <w:b/>
        </w:rPr>
        <w:t>E. 3</w:t>
      </w:r>
    </w:p>
    <w:p>
      <w:r>
        <w:t>L’art. 154 LF correspond à l’art. 51 LHID, dont la teneur est identique à l’art. 147 LIFD. La jurisprudence rendue en matière d'impôt fédéral direct est donc également valable pour l'application des dispositions cantonales harmonisées correspondantes (ATF 143 II 402 consid. 7.1 ; arrêt du Tribunal fédéral 9C_674/2022 précité consid. 7.1). Il peut ainsi être renvoyé à la motivation développée ci-dessus. IV. Conclusion, frais et dépens</w:t>
      </w:r>
    </w:p>
    <w:p>
      <w:r>
        <w:rPr>
          <w:b/>
        </w:rPr>
        <w:t>E. 4</w:t>
      </w:r>
    </w:p>
    <w:p>
      <w:r>
        <w:t>Les conclusions qui précèdent conduisent au rejet du recours (art. 150 al. 3 LF ; art. 80 al. 1 let. e et 60 al. 1 LPJA).</w:t>
      </w:r>
    </w:p>
    <w:p>
      <w:r>
        <w:rPr>
          <w:b/>
        </w:rPr>
        <w:t>E. 5</w:t>
      </w:r>
    </w:p>
    <w:p>
      <w:r>
        <w:t>Les frais de la cause, fixés principalement sur le vu des principes de la couverture des frais et de l’équivalence des prestations, à 1200 fr., sont mis à la charge de la recourante, qui succombe et n’a pas droit à des dépens (art. 144 LIFD, art. 8 LALIFD ; art. 150 al. 3 LF ; art. 89 al. 1 LPJA, art. 64 al. 1 a contrario PA, art. 91 al. 1 a contrario LPJA ; art. 3 al. 3, 11, 13 al. 1 et 25 LTar).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